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00" w:tblpY="3228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1394" w:hRule="atLeast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  <w:t>选调报名相关专业参考目录</w:t>
      </w:r>
    </w:p>
    <w:p>
      <w:pPr>
        <w:spacing w:line="400" w:lineRule="exact"/>
        <w:rPr>
          <w:rFonts w:hint="eastAsia" w:ascii="楷体_GB2312" w:hAnsi="黑体" w:eastAsia="楷体_GB2312"/>
          <w:color w:val="000000"/>
          <w:sz w:val="24"/>
          <w:szCs w:val="24"/>
        </w:rPr>
      </w:pPr>
      <w:r>
        <w:rPr>
          <w:rFonts w:hint="eastAsia" w:ascii="楷体_GB2312" w:hAnsi="黑体" w:eastAsia="楷体_GB2312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1224"/>
    <w:rsid w:val="0CD308A7"/>
    <w:rsid w:val="3D951224"/>
    <w:rsid w:val="489C5ECB"/>
    <w:rsid w:val="6A815148"/>
    <w:rsid w:val="6D961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2020-10-23T03:09:00Z</dcterms:created>
  <dc:creator>王志龙</dc:creator>
  <cp:lastModifiedBy>王志龙</cp:lastModifiedBy>
  <dcterms:modified xsi:type="dcterms:W3CDTF">2020-11-06T01:28:23Z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